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E1F" w:rsidRDefault="00D572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Problem 2:</w:t>
      </w:r>
    </w:p>
    <w:p w:rsidR="00081E1F" w:rsidRDefault="00D5721D">
      <w:pPr>
        <w:rPr>
          <w:sz w:val="24"/>
          <w:szCs w:val="24"/>
        </w:rPr>
      </w:pPr>
      <w:r>
        <w:rPr>
          <w:sz w:val="24"/>
          <w:szCs w:val="24"/>
        </w:rPr>
        <w:t xml:space="preserve">For single-stage seawater RO, ignoring the effect of pressure drop and concentration polarization, </w:t>
      </w:r>
    </w:p>
    <w:p w:rsidR="00081E1F" w:rsidRDefault="00D5721D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Investigate the effect of membrane investment on SEC for the following three cases </w:t>
      </w:r>
    </w:p>
    <w:p w:rsidR="00081E1F" w:rsidRDefault="00D5721D">
      <w:pPr>
        <w:pStyle w:val="ListParagraph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No ERD, no minimum recovery requirement</w:t>
      </w:r>
    </w:p>
    <w:p w:rsidR="00081E1F" w:rsidRDefault="00D5721D">
      <w:pPr>
        <w:pStyle w:val="ListParagraph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ERD efficiency = </w:t>
      </w:r>
      <w:r>
        <w:rPr>
          <w:sz w:val="24"/>
          <w:szCs w:val="24"/>
        </w:rPr>
        <w:t>96%, no minimum recovery requirement</w:t>
      </w:r>
    </w:p>
    <w:p w:rsidR="00081E1F" w:rsidRDefault="00D5721D">
      <w:pPr>
        <w:pStyle w:val="ListParagraph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ERD efficiency = 96%, minimum recovery = 30%</w:t>
      </w:r>
    </w:p>
    <w:p w:rsidR="00081E1F" w:rsidRDefault="00D5721D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Comment on the effect of membrane properties (i.e., permeability, area) and ERD on energy consumption  </w:t>
      </w:r>
    </w:p>
    <w:p w:rsidR="00081E1F" w:rsidRDefault="00081E1F">
      <w:pPr>
        <w:rPr>
          <w:sz w:val="24"/>
          <w:szCs w:val="24"/>
        </w:rPr>
      </w:pPr>
    </w:p>
    <w:p w:rsidR="00081E1F" w:rsidRDefault="00081E1F">
      <w:pPr>
        <w:rPr>
          <w:sz w:val="24"/>
          <w:szCs w:val="24"/>
        </w:rPr>
      </w:pPr>
    </w:p>
    <w:p w:rsidR="00081E1F" w:rsidRDefault="00081E1F">
      <w:pPr>
        <w:rPr>
          <w:sz w:val="24"/>
          <w:szCs w:val="24"/>
        </w:rPr>
      </w:pPr>
    </w:p>
    <w:p w:rsidR="00081E1F" w:rsidRDefault="00081E1F">
      <w:pPr>
        <w:rPr>
          <w:sz w:val="24"/>
          <w:szCs w:val="24"/>
        </w:rPr>
      </w:pPr>
    </w:p>
    <w:p w:rsidR="00081E1F" w:rsidRDefault="00D5721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81E1F" w:rsidRDefault="00D572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Solution:</w:t>
      </w:r>
    </w:p>
    <w:p w:rsidR="00081E1F" w:rsidRDefault="00D5721D">
      <w:pPr>
        <w:rPr>
          <w:sz w:val="24"/>
          <w:szCs w:val="24"/>
        </w:rPr>
      </w:pPr>
      <w:r>
        <w:rPr>
          <w:sz w:val="24"/>
          <w:szCs w:val="24"/>
        </w:rPr>
        <w:t>(a)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E1F">
        <w:tc>
          <w:tcPr>
            <w:tcW w:w="9350" w:type="dxa"/>
          </w:tcPr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SWRO_OPT()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%% optimization code for seawater reverse osmosis ignoring concentration polarization and </w:t>
            </w:r>
            <w:proofErr w:type="spellStart"/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retentate</w:t>
            </w:r>
            <w:proofErr w:type="spellEnd"/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 pressure drop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written by Mingheng Li, California State Polytechnic University, Pomona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case1: No ERD, no minimum recovery requirement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eta = 0;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%% no ERD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0;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0.1:0.1:2;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for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1: length(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[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NSEC_vec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z_(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)] = RO1OPT(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),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eta,ymin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end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figure(1);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alpha_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hold 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y_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rs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legend(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'\alpha_{opt}'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'y_{opt}'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'\gamma'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'optimal pressure and recovery'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figure(2)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NSEC_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'\gamma'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'optimal normalized SEC'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case2: ERD, no minimum recovery requirement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eta = 0.96;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ERD efficiency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0;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0.1:0.1:2;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for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1: length(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[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NSEC_vec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z_(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)] = RO1OPT(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),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eta,ymin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end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figure(3);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alpha_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hold 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y_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rs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legend(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'\alpha_{opt}'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'y_{opt}'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'\gamma'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'optimal pressure and recovery'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figure(4)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NSEC_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'\gamma'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'optimal normalized SEC'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lastRenderedPageBreak/>
              <w:t>%% case3: ERD, minimum recovery requirement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eta = 0.96;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ERD efficiency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0.3;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0.1:0.1:2;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for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1: length(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[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NSEC_vec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z_(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)] = RO1OPT(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),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eta,ymin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end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figure(5);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alpha_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hold 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y_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rs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legend(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'\alpha_{opt}'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'y_{opt}'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'\gamma'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'optimal pressure and recovery'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figure(6)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NSEC_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'\gamma'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'optimal normalized SEC'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figure(7)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NSEC_vec+0.1*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./y_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bo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hold 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NSEC_vec+0.3*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./y_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rs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NSEC_vec+0.5*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./y_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gd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 NSEC_vec+0.7*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./y_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'm&gt;-'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'\gamma'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NSEC+w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\beta'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legend(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'w=0.1'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'w=0.3'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'w=0.5'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'w=0.7'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'Location'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'NorthWest'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[NSEC alpha y z] = RO1OPT(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gamma,eta,ymin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%% </w:t>
            </w:r>
            <w:proofErr w:type="spellStart"/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 code to minimize specific energy consumption in one-stage SWRO.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x0=[gamma*0.6, 0.5, 2];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options = optimset(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'Display'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'off'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'Algorithm'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'active-set'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'TolCon'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,1e-10,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'MaxIter'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,1e5,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'MaxFunEvals'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,1e5);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exitflag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-10;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x=x0;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while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exitflag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~=1;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[x,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fval,exitflag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] = fmincon(@(x)ro1_objfun(x,gamma,eta,ymin),x,[],[],[],[],[],[],@(x)ro1_confun(x,gamma,eta,ymin),options);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end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 = x(1);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 = x(2);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z = x(3);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y=(1-alpha)*(1-exp(-z));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NSEC = (1+y*eta-eta)/alpha/y;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lastRenderedPageBreak/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f = ro1_objfun(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x,gamma,eta,ymin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objective function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 = x(1);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 = x(2);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z = x(3);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 = (1+y*eta-eta)/alpha/y;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[c,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ceq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] = ro1_confun(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x,gamma,eta,ymin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constraints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 = x(1);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 = x(2);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z = x(3);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err = 1e-9;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 = [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...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alpha-1+err;    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err-alpha;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err-z;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ymin+err-y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];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ceq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[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...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y-(1-alpha)*(1-exp(-z));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gamma-alpha*(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y+alpha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*z);</w:t>
            </w:r>
          </w:p>
          <w:p w:rsidR="00D5721D" w:rsidRDefault="00D5721D" w:rsidP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];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f = ro1_objfun(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x,gamma,eta,ymin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objective function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 = x(1);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 = x(2);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z = x(3);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 = (1+y*eta-eta)/alpha/y;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[c,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ceq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] = ro1_confun(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x,gamma,eta,ymin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constraints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 = x(1);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 = x(2);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z = x(3);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err = 1e-9;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 = [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...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alpha-1+err;     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err-alpha;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err-z;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ymin+err-y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];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ceq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[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...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y-(1-alpha)*(1-exp(-z));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gamma-alpha*(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y+alpha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*z);</w:t>
            </w:r>
          </w:p>
          <w:p w:rsidR="00081E1F" w:rsidRDefault="00D572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];</w:t>
            </w:r>
          </w:p>
        </w:tc>
      </w:tr>
    </w:tbl>
    <w:p w:rsidR="00081E1F" w:rsidRDefault="00081E1F">
      <w:pPr>
        <w:rPr>
          <w:sz w:val="24"/>
          <w:szCs w:val="24"/>
        </w:rPr>
      </w:pPr>
    </w:p>
    <w:p w:rsidR="00081E1F" w:rsidRDefault="00D5721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81E1F" w:rsidRDefault="00081E1F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4"/>
        <w:gridCol w:w="4736"/>
      </w:tblGrid>
      <w:tr w:rsidR="00081E1F">
        <w:tc>
          <w:tcPr>
            <w:tcW w:w="4619" w:type="dxa"/>
          </w:tcPr>
          <w:p w:rsidR="00081E1F" w:rsidRDefault="00D5721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2933700" cy="22002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1" w:type="dxa"/>
          </w:tcPr>
          <w:p w:rsidR="00081E1F" w:rsidRDefault="00D5721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2990850" cy="224313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5131" cy="2253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E1F">
        <w:tc>
          <w:tcPr>
            <w:tcW w:w="4619" w:type="dxa"/>
          </w:tcPr>
          <w:p w:rsidR="00081E1F" w:rsidRDefault="00D5721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2952750" cy="221456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734" cy="224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1" w:type="dxa"/>
          </w:tcPr>
          <w:p w:rsidR="00081E1F" w:rsidRDefault="00D5721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3019425" cy="2264569"/>
                  <wp:effectExtent l="0" t="0" r="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545" cy="227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E1F">
        <w:tc>
          <w:tcPr>
            <w:tcW w:w="4619" w:type="dxa"/>
          </w:tcPr>
          <w:p w:rsidR="00081E1F" w:rsidRDefault="00D5721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3009900" cy="22574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4391" cy="2268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1" w:type="dxa"/>
          </w:tcPr>
          <w:p w:rsidR="00081E1F" w:rsidRDefault="00D5721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3086100" cy="23145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3337" cy="2327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E1F">
        <w:tc>
          <w:tcPr>
            <w:tcW w:w="9350" w:type="dxa"/>
            <w:gridSpan w:val="2"/>
          </w:tcPr>
          <w:p w:rsidR="00081E1F" w:rsidRDefault="00D5721D">
            <w:pPr>
              <w:rPr>
                <w:noProof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  <w:lang w:eastAsia="en-US"/>
              </w:rPr>
              <w:t xml:space="preserve">Figure: Top: </w:t>
            </w:r>
            <w:r>
              <w:rPr>
                <w:rFonts w:ascii="Gulim" w:eastAsia="Gulim" w:hAnsi="Gulim" w:hint="eastAsia"/>
                <w:noProof/>
                <w:sz w:val="24"/>
                <w:szCs w:val="24"/>
                <w:lang w:eastAsia="en-US"/>
              </w:rPr>
              <w:t>η</w:t>
            </w:r>
            <w:r>
              <w:rPr>
                <w:noProof/>
                <w:sz w:val="24"/>
                <w:szCs w:val="24"/>
                <w:vertAlign w:val="subscript"/>
                <w:lang w:eastAsia="en-US"/>
              </w:rPr>
              <w:t>ERD</w:t>
            </w:r>
            <w:r>
              <w:rPr>
                <w:noProof/>
                <w:sz w:val="24"/>
                <w:szCs w:val="24"/>
                <w:lang w:eastAsia="en-US"/>
              </w:rPr>
              <w:t xml:space="preserve"> = 0, Y</w:t>
            </w:r>
            <w:r>
              <w:rPr>
                <w:noProof/>
                <w:sz w:val="24"/>
                <w:szCs w:val="24"/>
                <w:vertAlign w:val="subscript"/>
                <w:lang w:eastAsia="en-US"/>
              </w:rPr>
              <w:t>min</w:t>
            </w:r>
            <w:r>
              <w:rPr>
                <w:noProof/>
                <w:sz w:val="24"/>
                <w:szCs w:val="24"/>
                <w:lang w:eastAsia="en-US"/>
              </w:rPr>
              <w:t xml:space="preserve"> = 0; Middle: </w:t>
            </w:r>
            <w:r>
              <w:rPr>
                <w:rFonts w:ascii="Gulim" w:eastAsia="Gulim" w:hAnsi="Gulim" w:hint="eastAsia"/>
                <w:noProof/>
                <w:sz w:val="24"/>
                <w:szCs w:val="24"/>
                <w:lang w:eastAsia="en-US"/>
              </w:rPr>
              <w:t>η</w:t>
            </w:r>
            <w:r>
              <w:rPr>
                <w:noProof/>
                <w:sz w:val="24"/>
                <w:szCs w:val="24"/>
                <w:vertAlign w:val="subscript"/>
                <w:lang w:eastAsia="en-US"/>
              </w:rPr>
              <w:t>ERD</w:t>
            </w:r>
            <w:r>
              <w:rPr>
                <w:noProof/>
                <w:sz w:val="24"/>
                <w:szCs w:val="24"/>
                <w:lang w:eastAsia="en-US"/>
              </w:rPr>
              <w:t xml:space="preserve"> = 96%, Y</w:t>
            </w:r>
            <w:r>
              <w:rPr>
                <w:noProof/>
                <w:sz w:val="24"/>
                <w:szCs w:val="24"/>
                <w:vertAlign w:val="subscript"/>
                <w:lang w:eastAsia="en-US"/>
              </w:rPr>
              <w:t>min</w:t>
            </w:r>
            <w:r>
              <w:rPr>
                <w:noProof/>
                <w:sz w:val="24"/>
                <w:szCs w:val="24"/>
                <w:lang w:eastAsia="en-US"/>
              </w:rPr>
              <w:t xml:space="preserve"> = 0; Top: </w:t>
            </w:r>
            <w:r>
              <w:rPr>
                <w:rFonts w:ascii="Gulim" w:eastAsia="Gulim" w:hAnsi="Gulim" w:hint="eastAsia"/>
                <w:noProof/>
                <w:sz w:val="24"/>
                <w:szCs w:val="24"/>
                <w:lang w:eastAsia="en-US"/>
              </w:rPr>
              <w:t>η</w:t>
            </w:r>
            <w:r>
              <w:rPr>
                <w:noProof/>
                <w:sz w:val="24"/>
                <w:szCs w:val="24"/>
                <w:vertAlign w:val="subscript"/>
                <w:lang w:eastAsia="en-US"/>
              </w:rPr>
              <w:t>ERD</w:t>
            </w:r>
            <w:r>
              <w:rPr>
                <w:noProof/>
                <w:sz w:val="24"/>
                <w:szCs w:val="24"/>
                <w:lang w:eastAsia="en-US"/>
              </w:rPr>
              <w:t xml:space="preserve"> = 96%, Y</w:t>
            </w:r>
            <w:r>
              <w:rPr>
                <w:noProof/>
                <w:sz w:val="24"/>
                <w:szCs w:val="24"/>
                <w:vertAlign w:val="subscript"/>
                <w:lang w:eastAsia="en-US"/>
              </w:rPr>
              <w:t>min</w:t>
            </w:r>
            <w:r>
              <w:rPr>
                <w:noProof/>
                <w:sz w:val="24"/>
                <w:szCs w:val="24"/>
                <w:lang w:eastAsia="en-US"/>
              </w:rPr>
              <w:t xml:space="preserve"> = 30%;</w:t>
            </w:r>
          </w:p>
        </w:tc>
      </w:tr>
    </w:tbl>
    <w:p w:rsidR="00081E1F" w:rsidRDefault="00081E1F">
      <w:pPr>
        <w:rPr>
          <w:sz w:val="24"/>
          <w:szCs w:val="24"/>
        </w:rPr>
      </w:pPr>
    </w:p>
    <w:p w:rsidR="00081E1F" w:rsidRDefault="00D5721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81E1F" w:rsidRDefault="00D5721D">
      <w:pPr>
        <w:rPr>
          <w:sz w:val="24"/>
          <w:szCs w:val="24"/>
        </w:rPr>
      </w:pPr>
      <w:r>
        <w:rPr>
          <w:sz w:val="24"/>
          <w:szCs w:val="24"/>
        </w:rPr>
        <w:lastRenderedPageBreak/>
        <w:t>(b) From the above figures, it is observed that improving membrane permeability or increasing membrane area would reduce specific energy consumption, however, it becomes flat as γ becomes sufficiently large. ERD significantly reduces energy consumption whi</w:t>
      </w:r>
      <w:r>
        <w:rPr>
          <w:sz w:val="24"/>
          <w:szCs w:val="24"/>
        </w:rPr>
        <w:t xml:space="preserve">le the optimal recovery is much lower than the case without ERD. With the constraint of a minimum recovery, the optimal SEC may be higher. </w:t>
      </w:r>
    </w:p>
    <w:p w:rsidR="00081E1F" w:rsidRDefault="00D5721D">
      <w:pPr>
        <w:rPr>
          <w:sz w:val="24"/>
          <w:szCs w:val="24"/>
        </w:rPr>
      </w:pPr>
      <w:r>
        <w:rPr>
          <w:sz w:val="24"/>
          <w:szCs w:val="24"/>
        </w:rPr>
        <w:t>Below is a figure shows the total cost of energy consumption (represented by NSEC) and membrane cost (represented by</w:t>
      </w:r>
      <w:r>
        <w:rPr>
          <w:sz w:val="24"/>
          <w:szCs w:val="24"/>
        </w:rPr>
        <w:t xml:space="preserve"> β) for case (iii) studied above. Several different weights on membrane cost are considered.  It is consistent with industrial design that </w:t>
      </w:r>
      <w:r>
        <w:rPr>
          <w:sz w:val="24"/>
          <w:szCs w:val="24"/>
        </w:rPr>
        <w:t>ϒ</w:t>
      </w:r>
      <w:r>
        <w:rPr>
          <w:sz w:val="24"/>
          <w:szCs w:val="24"/>
        </w:rPr>
        <w:t xml:space="preserve"> is between 0.5-1 for sustainable SWRO process.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81E1F">
        <w:tc>
          <w:tcPr>
            <w:tcW w:w="9350" w:type="dxa"/>
          </w:tcPr>
          <w:p w:rsidR="00081E1F" w:rsidRDefault="00D5721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5120640" cy="384048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0640" cy="384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E1F">
        <w:tc>
          <w:tcPr>
            <w:tcW w:w="9350" w:type="dxa"/>
          </w:tcPr>
          <w:p w:rsidR="00081E1F" w:rsidRDefault="00D572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Figure: Optimal </w:t>
            </w:r>
            <w:r>
              <w:rPr>
                <w:sz w:val="24"/>
                <w:szCs w:val="24"/>
              </w:rPr>
              <w:t>ϒ</w:t>
            </w:r>
            <w:r>
              <w:rPr>
                <w:sz w:val="24"/>
                <w:szCs w:val="24"/>
              </w:rPr>
              <w:t xml:space="preserve"> to minimize the total of energy and membrane cost in SWRO.</w:t>
            </w:r>
          </w:p>
        </w:tc>
      </w:tr>
    </w:tbl>
    <w:p w:rsidR="00081E1F" w:rsidRDefault="00081E1F">
      <w:pPr>
        <w:rPr>
          <w:sz w:val="24"/>
          <w:szCs w:val="24"/>
        </w:rPr>
      </w:pPr>
    </w:p>
    <w:p w:rsidR="00081E1F" w:rsidRDefault="00081E1F">
      <w:pPr>
        <w:jc w:val="center"/>
        <w:rPr>
          <w:sz w:val="24"/>
          <w:szCs w:val="24"/>
        </w:rPr>
      </w:pPr>
    </w:p>
    <w:p w:rsidR="00081E1F" w:rsidRDefault="00D5721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081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93B"/>
    <w:multiLevelType w:val="hybridMultilevel"/>
    <w:tmpl w:val="0C34625E"/>
    <w:lvl w:ilvl="0" w:tplc="7BD04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B40CC"/>
    <w:multiLevelType w:val="hybridMultilevel"/>
    <w:tmpl w:val="89DC223A"/>
    <w:lvl w:ilvl="0" w:tplc="2DE046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D4E73"/>
    <w:multiLevelType w:val="hybridMultilevel"/>
    <w:tmpl w:val="F78AFB1E"/>
    <w:lvl w:ilvl="0" w:tplc="565201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F4BFF"/>
    <w:multiLevelType w:val="hybridMultilevel"/>
    <w:tmpl w:val="BF5A6F70"/>
    <w:lvl w:ilvl="0" w:tplc="4B80D0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12E08"/>
    <w:multiLevelType w:val="hybridMultilevel"/>
    <w:tmpl w:val="0D80506E"/>
    <w:lvl w:ilvl="0" w:tplc="E7B0C8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73902"/>
    <w:multiLevelType w:val="hybridMultilevel"/>
    <w:tmpl w:val="7200E984"/>
    <w:lvl w:ilvl="0" w:tplc="ABB4C9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33279"/>
    <w:multiLevelType w:val="hybridMultilevel"/>
    <w:tmpl w:val="FF90FE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76456"/>
    <w:multiLevelType w:val="hybridMultilevel"/>
    <w:tmpl w:val="5B1A7428"/>
    <w:lvl w:ilvl="0" w:tplc="308017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04523"/>
    <w:multiLevelType w:val="hybridMultilevel"/>
    <w:tmpl w:val="0D9EA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004122"/>
    <w:multiLevelType w:val="hybridMultilevel"/>
    <w:tmpl w:val="44B2BD42"/>
    <w:lvl w:ilvl="0" w:tplc="C67C35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74990"/>
    <w:multiLevelType w:val="hybridMultilevel"/>
    <w:tmpl w:val="A8E62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7083A"/>
    <w:multiLevelType w:val="hybridMultilevel"/>
    <w:tmpl w:val="9702C316"/>
    <w:lvl w:ilvl="0" w:tplc="6402F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D6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C4123A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F122C75"/>
    <w:multiLevelType w:val="hybridMultilevel"/>
    <w:tmpl w:val="DF74EBD8"/>
    <w:lvl w:ilvl="0" w:tplc="A512168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1"/>
  </w:num>
  <w:num w:numId="5">
    <w:abstractNumId w:val="4"/>
  </w:num>
  <w:num w:numId="6">
    <w:abstractNumId w:val="14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12"/>
  </w:num>
  <w:num w:numId="12">
    <w:abstractNumId w:val="5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E1F"/>
    <w:rsid w:val="00081E1F"/>
    <w:rsid w:val="00D5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496D4-D316-41CE-A3F0-5CCB03D1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b/>
      <w:bCs/>
      <w:sz w:val="20"/>
      <w:szCs w:val="20"/>
      <w:lang w:val="x-non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7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26BD7-9801-4297-B18A-E3258853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6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Mingheng Li</cp:lastModifiedBy>
  <cp:revision>59</cp:revision>
  <dcterms:created xsi:type="dcterms:W3CDTF">2015-12-07T00:43:00Z</dcterms:created>
  <dcterms:modified xsi:type="dcterms:W3CDTF">2016-02-25T22:24:00Z</dcterms:modified>
</cp:coreProperties>
</file>